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03" w:rsidRDefault="00D20803"/>
    <w:p w:rsidR="00C01D48" w:rsidRDefault="00C01D48"/>
    <w:p w:rsidR="00C01D48" w:rsidRDefault="00C01D48" w:rsidP="00C01D48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1D48" w:rsidRDefault="00C01D48" w:rsidP="00C01D4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АНАЛИТИЧЕСКАЯ  ЗАПИСКА </w:t>
      </w:r>
      <w:r>
        <w:rPr>
          <w:bCs/>
          <w:color w:val="000000"/>
        </w:rPr>
        <w:tab/>
      </w:r>
    </w:p>
    <w:p w:rsidR="00C01D48" w:rsidRDefault="00C01D48" w:rsidP="00C01D48">
      <w:pPr>
        <w:jc w:val="center"/>
      </w:pPr>
      <w:r w:rsidRPr="000B7008">
        <w:rPr>
          <w:bCs/>
          <w:color w:val="000000"/>
        </w:rPr>
        <w:t>О ХОДЕ ФИНАНСИРОВАНИЯ И ВЫПОЛНЕНИЯ МЕРОПРИЯТИЙ ПРОГРАММЫ</w:t>
      </w:r>
    </w:p>
    <w:p w:rsidR="00C01D48" w:rsidRPr="00C91F8E" w:rsidRDefault="00C01D48" w:rsidP="00C01D48">
      <w:pPr>
        <w:spacing w:line="276" w:lineRule="auto"/>
        <w:jc w:val="center"/>
        <w:rPr>
          <w:bCs/>
          <w:color w:val="000000"/>
        </w:rPr>
      </w:pPr>
      <w:r w:rsidRPr="00C91F8E">
        <w:rPr>
          <w:bCs/>
          <w:color w:val="000000"/>
        </w:rPr>
        <w:t xml:space="preserve">«Профилактика терроризма и экстремизма, а также минимизация и (или) ликвидация последствий их проявлений на территории Киренского района на 2021 – 2026 г.г.» </w:t>
      </w:r>
    </w:p>
    <w:p w:rsidR="00C01D48" w:rsidRDefault="00C01D48" w:rsidP="00C01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31.12.2022 г.  </w:t>
      </w:r>
    </w:p>
    <w:p w:rsidR="00C01D48" w:rsidRDefault="00C01D48" w:rsidP="00C01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48" w:rsidRPr="002C0D64" w:rsidRDefault="00C01D48" w:rsidP="00C01D48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375">
        <w:rPr>
          <w:rFonts w:ascii="Times New Roman" w:hAnsi="Times New Roman" w:cs="Times New Roman"/>
          <w:sz w:val="24"/>
          <w:szCs w:val="24"/>
        </w:rPr>
        <w:t>МП «</w:t>
      </w:r>
      <w:r w:rsidRPr="00C91F8E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 территории Киренского района на 2021 – 2026 г.г.</w:t>
      </w:r>
      <w:r w:rsidRPr="009943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4375">
        <w:rPr>
          <w:rFonts w:ascii="Times New Roman" w:hAnsi="Times New Roman" w:cs="Times New Roman"/>
          <w:sz w:val="24"/>
          <w:szCs w:val="24"/>
        </w:rPr>
        <w:t>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281">
        <w:rPr>
          <w:rFonts w:ascii="Times New Roman" w:hAnsi="Times New Roman" w:cs="Times New Roman"/>
          <w:sz w:val="24"/>
          <w:szCs w:val="24"/>
        </w:rPr>
        <w:t>постановлением администрации  Киренского муниципального района от 30 сентября 2020 года   № 526 изменения в МП  в 2022г. вносились постановлением №812 от 30 декабря 2022г.</w:t>
      </w: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  <w:r>
        <w:rPr>
          <w:b/>
        </w:rPr>
        <w:t xml:space="preserve">               </w:t>
      </w:r>
      <w:r w:rsidRPr="00DC514B">
        <w:t>Общий объем средств, предусмотренных программой на весь период её реализации –</w:t>
      </w:r>
      <w:r w:rsidRPr="00DC514B">
        <w:rPr>
          <w:i/>
        </w:rPr>
        <w:t xml:space="preserve"> </w:t>
      </w:r>
      <w:r w:rsidRPr="00DC514B">
        <w:t xml:space="preserve"> </w:t>
      </w:r>
      <w:r w:rsidRPr="00DC514B">
        <w:rPr>
          <w:lang w:eastAsia="en-US"/>
        </w:rPr>
        <w:t xml:space="preserve">     4</w:t>
      </w:r>
      <w:r>
        <w:rPr>
          <w:lang w:eastAsia="en-US"/>
        </w:rPr>
        <w:t>35</w:t>
      </w:r>
      <w:r w:rsidRPr="00DC514B">
        <w:rPr>
          <w:lang w:eastAsia="en-US"/>
        </w:rPr>
        <w:t>,0</w:t>
      </w:r>
      <w:r w:rsidRPr="00DC514B">
        <w:rPr>
          <w:sz w:val="18"/>
          <w:szCs w:val="18"/>
          <w:lang w:eastAsia="en-US"/>
        </w:rPr>
        <w:t xml:space="preserve">    </w:t>
      </w:r>
      <w:r w:rsidRPr="00DC514B">
        <w:t>тыс. рублей, на 202</w:t>
      </w:r>
      <w:r>
        <w:t>2</w:t>
      </w:r>
      <w:r w:rsidRPr="00DC514B">
        <w:t xml:space="preserve"> год  предусмотрено </w:t>
      </w:r>
      <w:r>
        <w:rPr>
          <w:lang w:eastAsia="en-US"/>
        </w:rPr>
        <w:t>55</w:t>
      </w:r>
      <w:r w:rsidRPr="00DC514B">
        <w:rPr>
          <w:lang w:eastAsia="en-US"/>
        </w:rPr>
        <w:t>,0</w:t>
      </w:r>
      <w:r w:rsidRPr="00DC514B">
        <w:t xml:space="preserve">   тыс. рублей, </w:t>
      </w:r>
      <w:r w:rsidRPr="00DC514B">
        <w:rPr>
          <w:rFonts w:eastAsia="Times New Roman"/>
        </w:rPr>
        <w:t xml:space="preserve">профинансировано за отчетный период  </w:t>
      </w:r>
      <w:r w:rsidRPr="00DC514B">
        <w:rPr>
          <w:lang w:eastAsia="en-US"/>
        </w:rPr>
        <w:t xml:space="preserve"> </w:t>
      </w:r>
      <w:r>
        <w:rPr>
          <w:lang w:eastAsia="en-US"/>
        </w:rPr>
        <w:t>55,0</w:t>
      </w:r>
      <w:r w:rsidRPr="00DC514B">
        <w:t xml:space="preserve">   </w:t>
      </w:r>
      <w:r w:rsidRPr="00DC514B">
        <w:rPr>
          <w:rFonts w:eastAsia="Times New Roman"/>
        </w:rPr>
        <w:t>тыс. руб.</w:t>
      </w:r>
      <w:r>
        <w:rPr>
          <w:rFonts w:eastAsia="Times New Roman"/>
        </w:rPr>
        <w:t>, в том числе по мероприятию 1.1. «Изготовление баннеров в целях создания социальной рекламы</w:t>
      </w:r>
      <w:r w:rsidRPr="00DC514B">
        <w:rPr>
          <w:rFonts w:eastAsia="Times New Roman"/>
        </w:rPr>
        <w:t xml:space="preserve"> </w:t>
      </w:r>
      <w:r>
        <w:rPr>
          <w:rFonts w:eastAsia="Times New Roman"/>
        </w:rPr>
        <w:t xml:space="preserve">антитеррористической направленности и их размещение в общественных местах» - по плану 13, 0 тыс. рублей, фактически - 13,0 тыс. рублей, мероприятие 1.2. «Опубликование в районной газете методических рекомендаций, статей и памяток по профилактическим мерам антитеррористического и </w:t>
      </w:r>
      <w:proofErr w:type="spellStart"/>
      <w:r>
        <w:rPr>
          <w:rFonts w:eastAsia="Times New Roman"/>
        </w:rPr>
        <w:t>антиэкстремистского</w:t>
      </w:r>
      <w:proofErr w:type="spellEnd"/>
      <w:r>
        <w:rPr>
          <w:rFonts w:eastAsia="Times New Roman"/>
        </w:rPr>
        <w:t xml:space="preserve"> характера» - по плану 42,0 тыс. </w:t>
      </w:r>
      <w:proofErr w:type="spellStart"/>
      <w:r>
        <w:rPr>
          <w:rFonts w:eastAsia="Times New Roman"/>
        </w:rPr>
        <w:t>руб</w:t>
      </w:r>
      <w:proofErr w:type="spellEnd"/>
      <w:r>
        <w:rPr>
          <w:rFonts w:eastAsia="Times New Roman"/>
        </w:rPr>
        <w:t>, фактически – 42,0 тыс. руб.,</w:t>
      </w: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В ходе реализации МП целевые показатели достигнуты, в</w:t>
      </w:r>
      <w:r w:rsidRPr="00A92A17">
        <w:rPr>
          <w:rFonts w:eastAsia="Times New Roman"/>
        </w:rPr>
        <w:t>нешние факторы, влияющие на реализацию М</w:t>
      </w:r>
      <w:r>
        <w:rPr>
          <w:rFonts w:eastAsia="Times New Roman"/>
        </w:rPr>
        <w:t>П</w:t>
      </w:r>
      <w:r w:rsidRPr="00A92A17">
        <w:rPr>
          <w:rFonts w:eastAsia="Times New Roman"/>
        </w:rPr>
        <w:t xml:space="preserve"> </w:t>
      </w:r>
      <w:r>
        <w:rPr>
          <w:rFonts w:eastAsia="Times New Roman"/>
        </w:rPr>
        <w:t xml:space="preserve">- </w:t>
      </w:r>
      <w:r w:rsidRPr="00A92A17">
        <w:rPr>
          <w:rFonts w:eastAsia="Times New Roman"/>
        </w:rPr>
        <w:t>отсутствуют</w:t>
      </w:r>
      <w:r>
        <w:rPr>
          <w:rFonts w:eastAsia="Times New Roman"/>
        </w:rPr>
        <w:t>.</w:t>
      </w: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</w:p>
    <w:p w:rsidR="00C01D48" w:rsidRDefault="00C01D48" w:rsidP="00C01D48">
      <w:pPr>
        <w:pStyle w:val="ConsPlusCell"/>
        <w:spacing w:line="360" w:lineRule="auto"/>
        <w:jc w:val="both"/>
        <w:rPr>
          <w:rFonts w:eastAsia="Times New Roman"/>
        </w:rPr>
      </w:pPr>
    </w:p>
    <w:p w:rsidR="00C01D48" w:rsidRDefault="00C01D48" w:rsidP="00C01D48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ГО и ЧС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Фарков</w:t>
      </w:r>
      <w:proofErr w:type="spellEnd"/>
    </w:p>
    <w:p w:rsidR="00C01D48" w:rsidRDefault="00C01D48" w:rsidP="00C01D48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>
      <w:pPr>
        <w:spacing w:after="200" w:line="276" w:lineRule="auto"/>
      </w:pPr>
      <w:r>
        <w:br w:type="page"/>
      </w:r>
    </w:p>
    <w:p w:rsidR="00C01D48" w:rsidRDefault="00C01D48">
      <w:pPr>
        <w:sectPr w:rsidR="00C01D48" w:rsidSect="00C01D48">
          <w:pgSz w:w="11906" w:h="16838"/>
          <w:pgMar w:top="397" w:right="425" w:bottom="709" w:left="567" w:header="709" w:footer="709" w:gutter="0"/>
          <w:cols w:space="708"/>
          <w:docGrid w:linePitch="360"/>
        </w:sectPr>
      </w:pPr>
    </w:p>
    <w:p w:rsidR="00C01D48" w:rsidRDefault="00C01D48"/>
    <w:p w:rsidR="00C01D48" w:rsidRDefault="00C01D48"/>
    <w:tbl>
      <w:tblPr>
        <w:tblW w:w="15276" w:type="dxa"/>
        <w:tblLook w:val="04A0"/>
      </w:tblPr>
      <w:tblGrid>
        <w:gridCol w:w="10548"/>
        <w:gridCol w:w="4728"/>
      </w:tblGrid>
      <w:tr w:rsidR="00C01D48" w:rsidRPr="00815ADC" w:rsidTr="00686546">
        <w:tc>
          <w:tcPr>
            <w:tcW w:w="10548" w:type="dxa"/>
            <w:shd w:val="clear" w:color="auto" w:fill="auto"/>
          </w:tcPr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br w:type="page"/>
            </w: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</w:p>
          <w:p w:rsidR="00C01D48" w:rsidRPr="00815ADC" w:rsidRDefault="00C01D48" w:rsidP="00686546">
            <w:pPr>
              <w:widowControl w:val="0"/>
              <w:jc w:val="right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br w:type="page"/>
            </w:r>
            <w:r w:rsidRPr="00815ADC">
              <w:rPr>
                <w:sz w:val="20"/>
                <w:szCs w:val="20"/>
              </w:rPr>
              <w:br w:type="page"/>
            </w:r>
          </w:p>
        </w:tc>
        <w:tc>
          <w:tcPr>
            <w:tcW w:w="4728" w:type="dxa"/>
            <w:shd w:val="clear" w:color="auto" w:fill="auto"/>
          </w:tcPr>
          <w:p w:rsidR="00C01D48" w:rsidRPr="00815ADC" w:rsidRDefault="00C01D48" w:rsidP="00686546">
            <w:pPr>
              <w:widowControl w:val="0"/>
              <w:outlineLvl w:val="1"/>
              <w:rPr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Приложение 3</w:t>
            </w:r>
          </w:p>
          <w:p w:rsidR="00C01D48" w:rsidRPr="00815ADC" w:rsidRDefault="00C01D48" w:rsidP="00686546">
            <w:pPr>
              <w:rPr>
                <w:bCs/>
                <w:color w:val="000000"/>
                <w:sz w:val="20"/>
                <w:szCs w:val="20"/>
              </w:rPr>
            </w:pPr>
            <w:r w:rsidRPr="00815ADC">
              <w:rPr>
                <w:sz w:val="20"/>
                <w:szCs w:val="20"/>
              </w:rPr>
              <w:t>к Положению о порядке принятия решений о разработке, реализации и оценке эффективности  муниципальных программ Киренского района</w:t>
            </w:r>
          </w:p>
        </w:tc>
      </w:tr>
    </w:tbl>
    <w:p w:rsidR="00C01D48" w:rsidRPr="00815ADC" w:rsidRDefault="00C01D48" w:rsidP="00C01D4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01D48" w:rsidRPr="00815ADC" w:rsidRDefault="00C01D48" w:rsidP="00C01D48">
      <w:pPr>
        <w:widowControl w:val="0"/>
        <w:jc w:val="right"/>
        <w:outlineLvl w:val="2"/>
        <w:rPr>
          <w:sz w:val="20"/>
          <w:szCs w:val="20"/>
        </w:rPr>
      </w:pPr>
      <w:r w:rsidRPr="00815ADC">
        <w:rPr>
          <w:sz w:val="20"/>
          <w:szCs w:val="20"/>
        </w:rPr>
        <w:t>Таблица 1.</w:t>
      </w:r>
    </w:p>
    <w:p w:rsidR="00C01D48" w:rsidRPr="008E3584" w:rsidRDefault="00C01D48" w:rsidP="00C01D48">
      <w:pPr>
        <w:jc w:val="center"/>
        <w:rPr>
          <w:b/>
          <w:bCs/>
          <w:i/>
          <w:color w:val="000000"/>
        </w:rPr>
      </w:pPr>
      <w:r w:rsidRPr="008E3584">
        <w:t xml:space="preserve"> </w:t>
      </w:r>
      <w:r w:rsidRPr="008E3584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РАЙОНА </w:t>
      </w:r>
      <w:r w:rsidRPr="008E3584">
        <w:rPr>
          <w:b/>
          <w:bCs/>
          <w:i/>
          <w:color w:val="000000"/>
        </w:rPr>
        <w:t xml:space="preserve"> </w:t>
      </w:r>
    </w:p>
    <w:p w:rsidR="00C01D48" w:rsidRPr="008E3584" w:rsidRDefault="00C01D48" w:rsidP="00C01D48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8E3584">
        <w:rPr>
          <w:bCs/>
          <w:color w:val="000000"/>
        </w:rPr>
        <w:t>«Профилактика терроризма и экстремизма, а также минимизация и (или)</w:t>
      </w:r>
    </w:p>
    <w:p w:rsidR="00C01D48" w:rsidRPr="008E3584" w:rsidRDefault="00C01D48" w:rsidP="00C01D48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8E3584">
        <w:rPr>
          <w:bCs/>
          <w:color w:val="000000"/>
        </w:rPr>
        <w:t>ликвидация последствий их проявлений на территории Киренского района на 2021 – 2026 г.г.»</w:t>
      </w:r>
    </w:p>
    <w:p w:rsidR="00C01D48" w:rsidRPr="008E3584" w:rsidRDefault="00C01D48" w:rsidP="00C01D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584">
        <w:rPr>
          <w:rFonts w:ascii="Times New Roman" w:hAnsi="Times New Roman" w:cs="Times New Roman"/>
          <w:sz w:val="24"/>
          <w:szCs w:val="24"/>
        </w:rPr>
        <w:t>по состоянию на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3584">
        <w:rPr>
          <w:rFonts w:ascii="Times New Roman" w:hAnsi="Times New Roman" w:cs="Times New Roman"/>
          <w:sz w:val="24"/>
          <w:szCs w:val="24"/>
        </w:rPr>
        <w:t xml:space="preserve"> г.  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31"/>
        <w:gridCol w:w="6426"/>
        <w:gridCol w:w="664"/>
        <w:gridCol w:w="1355"/>
        <w:gridCol w:w="1634"/>
        <w:gridCol w:w="1073"/>
        <w:gridCol w:w="2048"/>
        <w:gridCol w:w="2078"/>
      </w:tblGrid>
      <w:tr w:rsidR="00C01D48" w:rsidRPr="00155ECE" w:rsidTr="00686546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r w:rsidRPr="00155ECE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 xml:space="preserve">Ед. </w:t>
            </w:r>
            <w:proofErr w:type="spellStart"/>
            <w:r w:rsidRPr="00155ECE">
              <w:rPr>
                <w:rFonts w:eastAsia="Times New Roman"/>
                <w:sz w:val="20"/>
                <w:szCs w:val="20"/>
              </w:rPr>
              <w:t>изм</w:t>
            </w:r>
            <w:proofErr w:type="spellEnd"/>
            <w:r w:rsidRPr="00155EC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Отклонение фактического значения от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C01D48" w:rsidRPr="00155ECE" w:rsidTr="00686546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-/+</w:t>
            </w:r>
          </w:p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%</w:t>
            </w:r>
          </w:p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01D48" w:rsidRPr="00155ECE" w:rsidTr="0068654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01D48" w:rsidRPr="00155ECE" w:rsidTr="00686546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8" w:rsidRPr="008E3584" w:rsidRDefault="00C01D48" w:rsidP="00686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155ECE">
              <w:rPr>
                <w:color w:val="000000"/>
              </w:rPr>
              <w:t xml:space="preserve">Муниципальная программа </w:t>
            </w:r>
            <w:r w:rsidRPr="00155ECE">
              <w:rPr>
                <w:i/>
                <w:color w:val="000000"/>
              </w:rPr>
              <w:t xml:space="preserve"> </w:t>
            </w:r>
            <w:r>
              <w:t xml:space="preserve"> </w:t>
            </w:r>
            <w:r w:rsidRPr="008E3584">
              <w:rPr>
                <w:bCs/>
                <w:color w:val="000000"/>
              </w:rPr>
              <w:t>«Профилактика терроризма и экстремизма, а также минимизация и (или)</w:t>
            </w:r>
          </w:p>
          <w:p w:rsidR="00C01D48" w:rsidRPr="008E3584" w:rsidRDefault="00C01D48" w:rsidP="006865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E3584">
              <w:rPr>
                <w:bCs/>
                <w:color w:val="000000"/>
              </w:rPr>
              <w:t>ликвидация последствий их проявлений на территории Киренского района на 2021 – 2026 г.г.»</w:t>
            </w:r>
          </w:p>
        </w:tc>
      </w:tr>
      <w:tr w:rsidR="00C01D48" w:rsidRPr="00155ECE" w:rsidTr="0068654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widowControl w:val="0"/>
              <w:ind w:left="34" w:hanging="8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21BA4">
              <w:t>Доля населения, охваченная мероприятиями по профилактике терроризма, экстремизма, от общей численности.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jc w:val="center"/>
              <w:rPr>
                <w:sz w:val="20"/>
                <w:szCs w:val="20"/>
                <w:highlight w:val="yellow"/>
              </w:rPr>
            </w:pPr>
            <w:r w:rsidRPr="00155ECE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ind w:firstLine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 w:rsidRPr="00155EC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48" w:rsidRPr="00155ECE" w:rsidRDefault="00C01D48" w:rsidP="00686546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01D48" w:rsidRDefault="00C01D48" w:rsidP="00C01D48">
      <w:pPr>
        <w:jc w:val="center"/>
      </w:pPr>
    </w:p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C01D48" w:rsidRDefault="00C01D48"/>
    <w:p w:rsidR="00156771" w:rsidRPr="003110DB" w:rsidRDefault="00156771" w:rsidP="0015677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3110DB">
        <w:rPr>
          <w:b/>
          <w:bCs/>
          <w:color w:val="000000"/>
          <w:sz w:val="28"/>
          <w:szCs w:val="28"/>
        </w:rPr>
        <w:lastRenderedPageBreak/>
        <w:t xml:space="preserve">ОТЧЕТ ОБ ИСПОЛНЕНИИ МЕРОПРИЯТИЙ </w:t>
      </w:r>
      <w:r>
        <w:rPr>
          <w:b/>
          <w:bCs/>
          <w:color w:val="000000"/>
          <w:sz w:val="28"/>
          <w:szCs w:val="28"/>
        </w:rPr>
        <w:t xml:space="preserve">МУНИЦИПАЛЬНОЙ  </w:t>
      </w:r>
      <w:r w:rsidRPr="003110DB">
        <w:rPr>
          <w:b/>
          <w:bCs/>
          <w:color w:val="000000"/>
          <w:sz w:val="28"/>
          <w:szCs w:val="28"/>
        </w:rPr>
        <w:t xml:space="preserve">ПРОГРАММЫ </w:t>
      </w:r>
      <w:r>
        <w:rPr>
          <w:b/>
          <w:bCs/>
          <w:color w:val="000000"/>
          <w:sz w:val="28"/>
          <w:szCs w:val="28"/>
        </w:rPr>
        <w:t>КИРЕНСКОГО РАЙОНА</w:t>
      </w:r>
    </w:p>
    <w:p w:rsidR="00E728C4" w:rsidRDefault="00E728C4" w:rsidP="00E728C4">
      <w:pPr>
        <w:jc w:val="center"/>
        <w:rPr>
          <w:bCs/>
          <w:color w:val="000000"/>
          <w:sz w:val="28"/>
          <w:szCs w:val="28"/>
        </w:rPr>
      </w:pPr>
      <w:r>
        <w:rPr>
          <w:b/>
        </w:rPr>
        <w:t xml:space="preserve"> </w:t>
      </w:r>
      <w:r>
        <w:rPr>
          <w:bCs/>
          <w:color w:val="000000"/>
          <w:sz w:val="28"/>
          <w:szCs w:val="28"/>
        </w:rPr>
        <w:t xml:space="preserve">«Профилактика терроризма и экстремизма, а также минимизация и (или) ликвидация последствий их проявлений на </w:t>
      </w:r>
    </w:p>
    <w:p w:rsidR="00156771" w:rsidRPr="00E728C4" w:rsidRDefault="00E728C4" w:rsidP="00E728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территории Киренского района на 2021 – 2026 г.г.» </w:t>
      </w:r>
    </w:p>
    <w:p w:rsidR="00156771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B0">
        <w:rPr>
          <w:rFonts w:ascii="Times New Roman" w:hAnsi="Times New Roman" w:cs="Times New Roman"/>
          <w:b/>
          <w:sz w:val="24"/>
          <w:szCs w:val="24"/>
        </w:rPr>
        <w:t>И ИСПОЛ</w:t>
      </w:r>
      <w:r>
        <w:rPr>
          <w:rFonts w:ascii="Times New Roman" w:hAnsi="Times New Roman" w:cs="Times New Roman"/>
          <w:b/>
          <w:sz w:val="24"/>
          <w:szCs w:val="24"/>
        </w:rPr>
        <w:t>ЬЗОВАНИИ</w:t>
      </w:r>
      <w:r w:rsidRPr="008372B0">
        <w:rPr>
          <w:rFonts w:ascii="Times New Roman" w:hAnsi="Times New Roman" w:cs="Times New Roman"/>
          <w:b/>
          <w:sz w:val="24"/>
          <w:szCs w:val="24"/>
        </w:rPr>
        <w:t xml:space="preserve"> СРЕДСТВ ВСЕХ УРОВНЕЙ БЮДЖЕТА</w:t>
      </w:r>
    </w:p>
    <w:p w:rsidR="00156771" w:rsidRPr="008372B0" w:rsidRDefault="00156771" w:rsidP="0015677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2B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7B793B" w:rsidRPr="00E728C4" w:rsidRDefault="00156771" w:rsidP="00E72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0592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92E">
        <w:rPr>
          <w:rFonts w:ascii="Times New Roman" w:hAnsi="Times New Roman" w:cs="Times New Roman"/>
          <w:sz w:val="24"/>
          <w:szCs w:val="24"/>
        </w:rPr>
        <w:t>0</w:t>
      </w:r>
      <w:r w:rsidR="00302D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02D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156771" w:rsidRDefault="00156771"/>
    <w:tbl>
      <w:tblPr>
        <w:tblW w:w="15735" w:type="dxa"/>
        <w:jc w:val="center"/>
        <w:tblInd w:w="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  <w:gridCol w:w="1711"/>
        <w:gridCol w:w="1258"/>
        <w:gridCol w:w="1263"/>
        <w:gridCol w:w="1460"/>
        <w:gridCol w:w="1276"/>
        <w:gridCol w:w="1559"/>
        <w:gridCol w:w="1560"/>
        <w:gridCol w:w="1701"/>
        <w:gridCol w:w="1629"/>
      </w:tblGrid>
      <w:tr w:rsidR="00C41022" w:rsidTr="003753F2">
        <w:trPr>
          <w:trHeight w:val="78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sz w:val="20"/>
                <w:szCs w:val="20"/>
              </w:rPr>
              <w:t>2</w:t>
            </w:r>
            <w:r w:rsidR="001228D0">
              <w:rPr>
                <w:sz w:val="20"/>
                <w:szCs w:val="20"/>
              </w:rPr>
              <w:t>2</w:t>
            </w:r>
            <w:r w:rsidRPr="009B2D77">
              <w:rPr>
                <w:sz w:val="20"/>
                <w:szCs w:val="20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1228D0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1228D0">
              <w:rPr>
                <w:rFonts w:eastAsia="Times New Roman"/>
                <w:sz w:val="20"/>
                <w:szCs w:val="20"/>
              </w:rPr>
              <w:t>2</w:t>
            </w:r>
            <w:r w:rsidRPr="009B2D77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Pr="009B2D77" w:rsidRDefault="00C41022" w:rsidP="00C41022">
            <w:pPr>
              <w:pStyle w:val="ConsPlusCell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 w:rsidRPr="009B2D77">
              <w:rPr>
                <w:rFonts w:eastAsia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2D77">
              <w:rPr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C41022" w:rsidTr="003753F2">
        <w:trPr>
          <w:trHeight w:val="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22" w:rsidRDefault="00C41022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0592E" w:rsidRPr="00401391" w:rsidTr="001228D0">
        <w:trPr>
          <w:trHeight w:val="25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C4" w:rsidRPr="00401391" w:rsidRDefault="00E728C4" w:rsidP="00E728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1391">
              <w:rPr>
                <w:b/>
                <w:sz w:val="20"/>
                <w:szCs w:val="20"/>
                <w:lang w:eastAsia="en-US"/>
              </w:rPr>
              <w:t>П</w:t>
            </w:r>
            <w:r w:rsidR="0000592E" w:rsidRPr="00401391">
              <w:rPr>
                <w:b/>
                <w:sz w:val="20"/>
                <w:szCs w:val="20"/>
                <w:lang w:eastAsia="en-US"/>
              </w:rPr>
              <w:t>рограмма</w:t>
            </w:r>
            <w:r w:rsidRPr="00401391">
              <w:rPr>
                <w:bCs/>
                <w:color w:val="000000"/>
                <w:sz w:val="20"/>
                <w:szCs w:val="20"/>
              </w:rPr>
              <w:t xml:space="preserve">«Профилактика терроризма и экстремизма, а также минимизация и (или) ликвидация последствий их проявлений на </w:t>
            </w:r>
          </w:p>
          <w:p w:rsidR="0000592E" w:rsidRPr="00401391" w:rsidRDefault="00E728C4" w:rsidP="00E728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01391">
              <w:rPr>
                <w:bCs/>
                <w:color w:val="000000"/>
                <w:sz w:val="20"/>
                <w:szCs w:val="20"/>
              </w:rPr>
              <w:t xml:space="preserve">территории Киренского района на 2021 – 2026 г.г.»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00592E" w:rsidRPr="0040139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4013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284467" w:rsidRPr="00401391">
              <w:rPr>
                <w:sz w:val="20"/>
                <w:szCs w:val="20"/>
                <w:lang w:eastAsia="en-US"/>
              </w:rPr>
              <w:t>,</w:t>
            </w:r>
            <w:r w:rsidR="00401391" w:rsidRPr="004013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00592E" w:rsidRPr="00401391" w:rsidTr="001228D0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E" w:rsidRPr="00401391" w:rsidRDefault="0000592E" w:rsidP="00C4102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1391">
              <w:rPr>
                <w:b/>
                <w:sz w:val="20"/>
                <w:szCs w:val="20"/>
                <w:lang w:eastAsia="en-US"/>
              </w:rPr>
              <w:t xml:space="preserve"> Основное мероприятие 1</w:t>
            </w:r>
          </w:p>
          <w:p w:rsidR="0000592E" w:rsidRPr="00401391" w:rsidRDefault="0000592E" w:rsidP="00E728C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Профилактика терроризма и экстремизма, минимизация и ликвидация последствий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ответственный 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00592E" w:rsidRPr="0040139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  <w:r w:rsidR="0000592E" w:rsidRPr="0040139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8747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  <w:tr w:rsidR="0000592E" w:rsidRPr="00401391" w:rsidTr="001228D0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 xml:space="preserve"> Мероприятие 1.1</w:t>
            </w:r>
          </w:p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Изготовление баннеров в целях создания социальной рекламы антитеррористической  направленности  и их размещение в общественных местах.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06-07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00592E" w:rsidRPr="0040139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Кол-во баннеров, шт</w:t>
            </w:r>
            <w:r w:rsidR="008C2C6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E728C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10</w:t>
            </w: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A3709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E728C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-</w:t>
            </w: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92E" w:rsidRPr="00401391" w:rsidTr="001228D0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lastRenderedPageBreak/>
              <w:t xml:space="preserve"> Мероприятие 1.2</w:t>
            </w:r>
          </w:p>
          <w:p w:rsidR="0000592E" w:rsidRPr="00401391" w:rsidRDefault="0000592E" w:rsidP="00C4102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 xml:space="preserve">Опубликование в районной газете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401391">
              <w:rPr>
                <w:sz w:val="20"/>
                <w:szCs w:val="20"/>
                <w:lang w:eastAsia="en-US"/>
              </w:rPr>
              <w:t>антиэкстремистского</w:t>
            </w:r>
            <w:proofErr w:type="spellEnd"/>
            <w:r w:rsidRPr="00401391">
              <w:rPr>
                <w:sz w:val="20"/>
                <w:szCs w:val="20"/>
                <w:lang w:eastAsia="en-US"/>
              </w:rPr>
              <w:t xml:space="preserve"> характера.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E" w:rsidRPr="00401391" w:rsidRDefault="0000592E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  <w:r w:rsidR="0000592E" w:rsidRPr="00401391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 xml:space="preserve">Кол-во статей, </w:t>
            </w:r>
            <w:proofErr w:type="spellStart"/>
            <w:r w:rsidRPr="00401391">
              <w:rPr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302D3C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2E" w:rsidRPr="00401391" w:rsidRDefault="0000592E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728C4" w:rsidRPr="00401391" w:rsidTr="001228D0">
        <w:trPr>
          <w:trHeight w:val="14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C4" w:rsidRPr="00401391" w:rsidRDefault="00E728C4" w:rsidP="00E728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F672B5" w:rsidRPr="00401391">
              <w:rPr>
                <w:sz w:val="20"/>
                <w:szCs w:val="20"/>
                <w:lang w:eastAsia="en-US"/>
              </w:rPr>
              <w:t>1.</w:t>
            </w:r>
            <w:r w:rsidRPr="00401391">
              <w:rPr>
                <w:sz w:val="20"/>
                <w:szCs w:val="20"/>
                <w:lang w:eastAsia="en-US"/>
              </w:rPr>
              <w:t>3</w:t>
            </w:r>
            <w:r w:rsidR="00F672B5" w:rsidRPr="00401391">
              <w:rPr>
                <w:sz w:val="20"/>
                <w:szCs w:val="20"/>
                <w:lang w:eastAsia="en-US"/>
              </w:rPr>
              <w:t xml:space="preserve"> </w:t>
            </w:r>
          </w:p>
          <w:p w:rsidR="00E728C4" w:rsidRPr="00401391" w:rsidRDefault="00E728C4" w:rsidP="00E728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Обучение на курсах по вопросам профессиональной подготовки сотрудников администрации района, ответственных за проведение мероприятий по профилактике терроризма.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C4" w:rsidRPr="00401391" w:rsidRDefault="00E728C4" w:rsidP="00C41022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исполнитель мероприятия: отдел ГО и ЧС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C4" w:rsidRPr="00401391" w:rsidRDefault="00E728C4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C4" w:rsidRPr="00401391" w:rsidRDefault="00E728C4" w:rsidP="001228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013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8C4" w:rsidRPr="00401391" w:rsidRDefault="001228D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8C4" w:rsidRPr="00401391" w:rsidRDefault="001228D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8C4" w:rsidRPr="00401391" w:rsidRDefault="00E728C4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01391">
              <w:rPr>
                <w:sz w:val="18"/>
                <w:szCs w:val="18"/>
                <w:lang w:eastAsia="en-US"/>
              </w:rPr>
              <w:t>Кол-во обучаемых, 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28C4" w:rsidRPr="00401391" w:rsidRDefault="001228D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C4" w:rsidRPr="00401391" w:rsidRDefault="001228D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C4" w:rsidRPr="00401391" w:rsidRDefault="001228D0" w:rsidP="00C410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01391"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</w:tr>
    </w:tbl>
    <w:p w:rsidR="004F6266" w:rsidRPr="00401391" w:rsidRDefault="004F6266" w:rsidP="00AA4812"/>
    <w:p w:rsidR="00C01D48" w:rsidRDefault="00C01D48" w:rsidP="00AA4812"/>
    <w:p w:rsidR="00C01D48" w:rsidRDefault="00C01D48" w:rsidP="00AA4812"/>
    <w:p w:rsidR="00C01D48" w:rsidRDefault="00C01D48" w:rsidP="00AA4812"/>
    <w:p w:rsidR="00C01D48" w:rsidRDefault="00C01D48" w:rsidP="00AA4812"/>
    <w:p w:rsidR="00C01D48" w:rsidRDefault="00C01D48" w:rsidP="00AA4812"/>
    <w:p w:rsidR="00AA4812" w:rsidRPr="00401391" w:rsidRDefault="00AA4812" w:rsidP="00AA4812">
      <w:r w:rsidRPr="00401391">
        <w:t xml:space="preserve">Согласовано: </w:t>
      </w:r>
    </w:p>
    <w:p w:rsidR="007B793B" w:rsidRPr="00401391" w:rsidRDefault="007B793B" w:rsidP="007B793B">
      <w:r w:rsidRPr="00401391">
        <w:t xml:space="preserve">Начальник отдела доходов и финансирования производственной сферы </w:t>
      </w:r>
    </w:p>
    <w:p w:rsidR="00C41022" w:rsidRDefault="007B793B" w:rsidP="007B793B">
      <w:r w:rsidRPr="00401391">
        <w:t>Финансового управления администрации Киренского муниципального района</w:t>
      </w:r>
      <w:r w:rsidR="00AA4812" w:rsidRPr="00401391">
        <w:t xml:space="preserve">       </w:t>
      </w:r>
      <w:r w:rsidRPr="00401391">
        <w:t xml:space="preserve">                                                           О.В. </w:t>
      </w:r>
      <w:proofErr w:type="spellStart"/>
      <w:r w:rsidRPr="00401391">
        <w:t>Шелковникова</w:t>
      </w:r>
      <w:proofErr w:type="spellEnd"/>
      <w:r w:rsidR="00AA4812">
        <w:t xml:space="preserve">                                                                                                                           </w:t>
      </w:r>
      <w:r w:rsidR="002A7818">
        <w:t xml:space="preserve">              </w:t>
      </w:r>
    </w:p>
    <w:sectPr w:rsidR="00C41022" w:rsidSect="00C41022">
      <w:pgSz w:w="16838" w:h="11906" w:orient="landscape"/>
      <w:pgMar w:top="567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0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022"/>
    <w:rsid w:val="0000592E"/>
    <w:rsid w:val="00007BAE"/>
    <w:rsid w:val="000C1692"/>
    <w:rsid w:val="000C1CB9"/>
    <w:rsid w:val="000C2262"/>
    <w:rsid w:val="001228D0"/>
    <w:rsid w:val="00156771"/>
    <w:rsid w:val="001721F9"/>
    <w:rsid w:val="001A20FF"/>
    <w:rsid w:val="001A3B80"/>
    <w:rsid w:val="001C0E0E"/>
    <w:rsid w:val="001F10CF"/>
    <w:rsid w:val="001F4799"/>
    <w:rsid w:val="00201D1D"/>
    <w:rsid w:val="0022035F"/>
    <w:rsid w:val="002218EB"/>
    <w:rsid w:val="00263138"/>
    <w:rsid w:val="00284467"/>
    <w:rsid w:val="002905F1"/>
    <w:rsid w:val="002A6E7C"/>
    <w:rsid w:val="002A7818"/>
    <w:rsid w:val="00302948"/>
    <w:rsid w:val="00302D3C"/>
    <w:rsid w:val="0033028D"/>
    <w:rsid w:val="0034348A"/>
    <w:rsid w:val="003456BB"/>
    <w:rsid w:val="0034632B"/>
    <w:rsid w:val="00353E88"/>
    <w:rsid w:val="00365342"/>
    <w:rsid w:val="00372C70"/>
    <w:rsid w:val="003753F2"/>
    <w:rsid w:val="003B7A2B"/>
    <w:rsid w:val="003D1F2E"/>
    <w:rsid w:val="003D6D9B"/>
    <w:rsid w:val="00401391"/>
    <w:rsid w:val="004C0374"/>
    <w:rsid w:val="004F6266"/>
    <w:rsid w:val="005852A9"/>
    <w:rsid w:val="00607438"/>
    <w:rsid w:val="00613115"/>
    <w:rsid w:val="00686AF7"/>
    <w:rsid w:val="006E6CC0"/>
    <w:rsid w:val="007320D0"/>
    <w:rsid w:val="00740756"/>
    <w:rsid w:val="00764482"/>
    <w:rsid w:val="007715C2"/>
    <w:rsid w:val="007B793B"/>
    <w:rsid w:val="007C3E39"/>
    <w:rsid w:val="007C7055"/>
    <w:rsid w:val="00822298"/>
    <w:rsid w:val="008649C3"/>
    <w:rsid w:val="008747ED"/>
    <w:rsid w:val="008C2C67"/>
    <w:rsid w:val="008D23FC"/>
    <w:rsid w:val="0090059D"/>
    <w:rsid w:val="009329F5"/>
    <w:rsid w:val="00957E82"/>
    <w:rsid w:val="00960159"/>
    <w:rsid w:val="009907AB"/>
    <w:rsid w:val="009B2EF9"/>
    <w:rsid w:val="009E3040"/>
    <w:rsid w:val="009E3E15"/>
    <w:rsid w:val="00A3709E"/>
    <w:rsid w:val="00A807EF"/>
    <w:rsid w:val="00AA4812"/>
    <w:rsid w:val="00B12810"/>
    <w:rsid w:val="00B21535"/>
    <w:rsid w:val="00B3033D"/>
    <w:rsid w:val="00B312E7"/>
    <w:rsid w:val="00B76713"/>
    <w:rsid w:val="00BA17EE"/>
    <w:rsid w:val="00BA3101"/>
    <w:rsid w:val="00C01D48"/>
    <w:rsid w:val="00C0427D"/>
    <w:rsid w:val="00C41022"/>
    <w:rsid w:val="00C44C23"/>
    <w:rsid w:val="00C60F25"/>
    <w:rsid w:val="00C83029"/>
    <w:rsid w:val="00CA6E08"/>
    <w:rsid w:val="00CE68AE"/>
    <w:rsid w:val="00D20803"/>
    <w:rsid w:val="00D62F45"/>
    <w:rsid w:val="00D74068"/>
    <w:rsid w:val="00DD1B9F"/>
    <w:rsid w:val="00E01531"/>
    <w:rsid w:val="00E306D0"/>
    <w:rsid w:val="00E37005"/>
    <w:rsid w:val="00E728C4"/>
    <w:rsid w:val="00EE0204"/>
    <w:rsid w:val="00F453A7"/>
    <w:rsid w:val="00F672B5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2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22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C4102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4102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1022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4102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41022"/>
    <w:pPr>
      <w:ind w:left="720"/>
      <w:contextualSpacing/>
    </w:pPr>
  </w:style>
  <w:style w:type="paragraph" w:customStyle="1" w:styleId="ConsPlusNonformat">
    <w:name w:val="ConsPlusNonformat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4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41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C41022"/>
    <w:pPr>
      <w:ind w:firstLine="851"/>
      <w:jc w:val="both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4102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410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41022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C41022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e">
    <w:name w:val="Hyperlink"/>
    <w:uiPriority w:val="99"/>
    <w:unhideWhenUsed/>
    <w:rsid w:val="00C41022"/>
    <w:rPr>
      <w:color w:val="0563C1"/>
      <w:u w:val="single"/>
    </w:rPr>
  </w:style>
  <w:style w:type="paragraph" w:customStyle="1" w:styleId="EmptyCellLayoutStyle">
    <w:name w:val="EmptyCellLayoutStyle"/>
    <w:rsid w:val="00C41022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">
    <w:name w:val="footnote reference"/>
    <w:uiPriority w:val="99"/>
    <w:unhideWhenUsed/>
    <w:rsid w:val="00C41022"/>
    <w:rPr>
      <w:vertAlign w:val="superscript"/>
    </w:rPr>
  </w:style>
  <w:style w:type="character" w:customStyle="1" w:styleId="af0">
    <w:name w:val="Цветовое выделение"/>
    <w:uiPriority w:val="99"/>
    <w:rsid w:val="00C41022"/>
    <w:rPr>
      <w:b/>
      <w:color w:val="000080"/>
    </w:rPr>
  </w:style>
  <w:style w:type="paragraph" w:customStyle="1" w:styleId="ConsNormal">
    <w:name w:val="Con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C41022"/>
  </w:style>
  <w:style w:type="paragraph" w:customStyle="1" w:styleId="ConsPlusNormal">
    <w:name w:val="ConsPlusNormal"/>
    <w:rsid w:val="00C41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2021-07-13T07:59:00Z</cp:lastPrinted>
  <dcterms:created xsi:type="dcterms:W3CDTF">2021-03-03T06:22:00Z</dcterms:created>
  <dcterms:modified xsi:type="dcterms:W3CDTF">2023-02-07T00:50:00Z</dcterms:modified>
</cp:coreProperties>
</file>